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764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1930"/>
        <w:gridCol w:w="4110"/>
        <w:gridCol w:w="1785"/>
        <w:gridCol w:w="1065"/>
        <w:gridCol w:w="1050"/>
        <w:gridCol w:w="1440"/>
        <w:gridCol w:w="15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76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水利工程学院“绿水青山就是金山银山”主题造型制作清单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参数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金额（元）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主题造型（双面）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after="200" w:afterAutospacing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主体材质：不锈钢板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工艺：内部30x30x1.2方通骨架，面板激光切割，激光无缝焊接、精工打磨，抛光、电镀、喷汽车漆等。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厚度：100mm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8500x2200x500mm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18.7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主题造型立体字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after="200" w:afterAutospacing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主体材质：不锈钢板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工艺：面板激光切割，激光无缝焊接、精工打磨，抛光、电镀、喷汽车漆等。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厚度：50+30mm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450mm高  4个390mm高  6个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4.14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主题造型安装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混凝土基础。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尺寸：600X600x600mmm  4个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安装：焊接、打钉、支撑等。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运输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99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合计：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备注：需提供设计图审核</w:t>
      </w: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报价公司（公司名称）：                                                                             联系人：          联系电话：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